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752" w:rsidRDefault="00C47752" w:rsidP="00C47752">
      <w:pPr>
        <w:pStyle w:val="Heading2"/>
        <w:shd w:val="clear" w:color="auto" w:fill="FFFFFF"/>
        <w:spacing w:after="0" w:afterAutospacing="0"/>
        <w:rPr>
          <w:rFonts w:ascii="Helvetica" w:hAnsi="Helvetica"/>
          <w:b w:val="0"/>
          <w:bCs w:val="0"/>
          <w:color w:val="000000"/>
        </w:rPr>
      </w:pPr>
      <w:r>
        <w:rPr>
          <w:rFonts w:ascii="Helvetica" w:hAnsi="Helvetica"/>
          <w:b w:val="0"/>
          <w:bCs w:val="0"/>
          <w:color w:val="000000"/>
        </w:rPr>
        <w:t>Abstract</w:t>
      </w:r>
    </w:p>
    <w:p w:rsidR="00C47752" w:rsidRDefault="00C47752" w:rsidP="00C47752">
      <w:pPr>
        <w:pStyle w:val="NormalWeb"/>
        <w:shd w:val="clear" w:color="auto" w:fill="FFFFFF"/>
        <w:spacing w:before="480" w:beforeAutospacing="0" w:after="240" w:afterAutospacing="0"/>
        <w:rPr>
          <w:rFonts w:ascii="Helvetica" w:hAnsi="Helvetica"/>
          <w:color w:val="000000"/>
        </w:rPr>
      </w:pPr>
      <w:r>
        <w:rPr>
          <w:rFonts w:ascii="Helvetica" w:hAnsi="Helvetica"/>
          <w:color w:val="000000"/>
        </w:rPr>
        <w:t xml:space="preserve">Plant pests and diseases caused by fungi, bacteria, viruses and plant-parasitic nematodes continue to cause substantial yield and economic losses on agricultural production systems globally and in Kenya. Management of these diseases has relied heavily on synthetic chemical pesticides; however, extensive use has raised serious concerns related to human health, environmental contamination, pesticide resistance, and compliance with increasingly stringent maximum residue limits in domestic and export markets. </w:t>
      </w:r>
      <w:proofErr w:type="spellStart"/>
      <w:r>
        <w:rPr>
          <w:rFonts w:ascii="Helvetica" w:hAnsi="Helvetica"/>
          <w:color w:val="000000"/>
        </w:rPr>
        <w:t>Biopesticides</w:t>
      </w:r>
      <w:proofErr w:type="spellEnd"/>
      <w:r>
        <w:rPr>
          <w:rFonts w:ascii="Helvetica" w:hAnsi="Helvetica"/>
          <w:color w:val="000000"/>
        </w:rPr>
        <w:t xml:space="preserve"> have emerged as a viable and sustainable alternative, offering target specificity, biodegradability, and reduced ecological risks. This review provides a comprehensive overview of the types, mechanisms of action, formulation processes, and global development trends of </w:t>
      </w:r>
      <w:proofErr w:type="spellStart"/>
      <w:r>
        <w:rPr>
          <w:rFonts w:ascii="Helvetica" w:hAnsi="Helvetica"/>
          <w:color w:val="000000"/>
        </w:rPr>
        <w:t>biopesticides</w:t>
      </w:r>
      <w:proofErr w:type="spellEnd"/>
      <w:r>
        <w:rPr>
          <w:rFonts w:ascii="Helvetica" w:hAnsi="Helvetica"/>
          <w:color w:val="000000"/>
        </w:rPr>
        <w:t xml:space="preserve">, with particular emphasis on microbial agents, botanical extracts, </w:t>
      </w:r>
      <w:proofErr w:type="spellStart"/>
      <w:r>
        <w:rPr>
          <w:rFonts w:ascii="Helvetica" w:hAnsi="Helvetica"/>
          <w:color w:val="000000"/>
        </w:rPr>
        <w:t>semiochemicals</w:t>
      </w:r>
      <w:proofErr w:type="spellEnd"/>
      <w:r>
        <w:rPr>
          <w:rFonts w:ascii="Helvetica" w:hAnsi="Helvetica"/>
          <w:color w:val="000000"/>
        </w:rPr>
        <w:t xml:space="preserve">, </w:t>
      </w:r>
      <w:proofErr w:type="spellStart"/>
      <w:r>
        <w:rPr>
          <w:rFonts w:ascii="Helvetica" w:hAnsi="Helvetica"/>
          <w:color w:val="000000"/>
        </w:rPr>
        <w:t>macrobials</w:t>
      </w:r>
      <w:proofErr w:type="spellEnd"/>
      <w:r>
        <w:rPr>
          <w:rFonts w:ascii="Helvetica" w:hAnsi="Helvetica"/>
          <w:color w:val="000000"/>
        </w:rPr>
        <w:t xml:space="preserve">, and plant-incorporated protectants. The paper further examines the scientific basis underpinning botanical </w:t>
      </w:r>
      <w:proofErr w:type="spellStart"/>
      <w:r>
        <w:rPr>
          <w:rFonts w:ascii="Helvetica" w:hAnsi="Helvetica"/>
          <w:color w:val="000000"/>
        </w:rPr>
        <w:t>biopesticides</w:t>
      </w:r>
      <w:proofErr w:type="spellEnd"/>
      <w:r>
        <w:rPr>
          <w:rFonts w:ascii="Helvetica" w:hAnsi="Helvetica"/>
          <w:color w:val="000000"/>
        </w:rPr>
        <w:t xml:space="preserve">, including the role of plant secondary metabolites and their modes of antimicrobial and </w:t>
      </w:r>
      <w:proofErr w:type="spellStart"/>
      <w:r>
        <w:rPr>
          <w:rFonts w:ascii="Helvetica" w:hAnsi="Helvetica"/>
          <w:color w:val="000000"/>
        </w:rPr>
        <w:t>nematicidal</w:t>
      </w:r>
      <w:proofErr w:type="spellEnd"/>
      <w:r>
        <w:rPr>
          <w:rFonts w:ascii="Helvetica" w:hAnsi="Helvetica"/>
          <w:color w:val="000000"/>
        </w:rPr>
        <w:t xml:space="preserve"> action. A critical analysis of </w:t>
      </w:r>
      <w:proofErr w:type="spellStart"/>
      <w:r>
        <w:rPr>
          <w:rFonts w:ascii="Helvetica" w:hAnsi="Helvetica"/>
          <w:color w:val="000000"/>
        </w:rPr>
        <w:t>biopesticide</w:t>
      </w:r>
      <w:proofErr w:type="spellEnd"/>
      <w:r>
        <w:rPr>
          <w:rFonts w:ascii="Helvetica" w:hAnsi="Helvetica"/>
          <w:color w:val="000000"/>
        </w:rPr>
        <w:t xml:space="preserve"> development pipeline from discovery and efficacy evaluation to formulation and commercialization is presented. In addition, the review analyzes the Kenyan legal and institutional frameworks regulating </w:t>
      </w:r>
      <w:proofErr w:type="spellStart"/>
      <w:r>
        <w:rPr>
          <w:rFonts w:ascii="Helvetica" w:hAnsi="Helvetica"/>
          <w:color w:val="000000"/>
        </w:rPr>
        <w:t>biopesticides</w:t>
      </w:r>
      <w:proofErr w:type="spellEnd"/>
      <w:r>
        <w:rPr>
          <w:rFonts w:ascii="Helvetica" w:hAnsi="Helvetica"/>
          <w:color w:val="000000"/>
        </w:rPr>
        <w:t xml:space="preserve">, highlighting the roles of the Pest Control Products Board, Kenya Plant Health Inspectorate Service, and associated regulatory instruments. While Kenya has comparatively advanced regulatory mechanisms for </w:t>
      </w:r>
      <w:proofErr w:type="spellStart"/>
      <w:r>
        <w:rPr>
          <w:rFonts w:ascii="Helvetica" w:hAnsi="Helvetica"/>
          <w:color w:val="000000"/>
        </w:rPr>
        <w:t>biopesticide</w:t>
      </w:r>
      <w:proofErr w:type="spellEnd"/>
      <w:r>
        <w:rPr>
          <w:rFonts w:ascii="Helvetica" w:hAnsi="Helvetica"/>
          <w:color w:val="000000"/>
        </w:rPr>
        <w:t xml:space="preserve"> registration within East Africa, challenges persist related to high</w:t>
      </w:r>
      <w:r>
        <w:rPr>
          <w:rFonts w:ascii="Helvetica" w:hAnsi="Helvetica"/>
          <w:color w:val="000000"/>
        </w:rPr>
        <w:t xml:space="preserve"> </w:t>
      </w:r>
      <w:r>
        <w:rPr>
          <w:rFonts w:ascii="Helvetica" w:hAnsi="Helvetica"/>
          <w:color w:val="000000"/>
          <w:shd w:val="clear" w:color="auto" w:fill="FFFFFF"/>
        </w:rPr>
        <w:t xml:space="preserve">registration costs, lengthy approval timelines, limited farmer awareness, and formulation constraints. The review identifies key gaps, opportunities, and policy priorities needed to accelerate adoption and commercialization of </w:t>
      </w:r>
      <w:proofErr w:type="spellStart"/>
      <w:r>
        <w:rPr>
          <w:rFonts w:ascii="Helvetica" w:hAnsi="Helvetica"/>
          <w:color w:val="000000"/>
          <w:shd w:val="clear" w:color="auto" w:fill="FFFFFF"/>
        </w:rPr>
        <w:t>biopesticides</w:t>
      </w:r>
      <w:proofErr w:type="spellEnd"/>
      <w:r>
        <w:rPr>
          <w:rFonts w:ascii="Helvetica" w:hAnsi="Helvetica"/>
          <w:color w:val="000000"/>
          <w:shd w:val="clear" w:color="auto" w:fill="FFFFFF"/>
        </w:rPr>
        <w:t>, positioning them as a central pillar of integrated pest management and sustainable agricultural intensification in Kenya and similar agro-ecological contexts.</w:t>
      </w:r>
      <w:bookmarkStart w:id="0" w:name="_GoBack"/>
      <w:bookmarkEnd w:id="0"/>
    </w:p>
    <w:p w:rsidR="0073035E" w:rsidRDefault="00C47752"/>
    <w:sectPr w:rsidR="0073035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BDA"/>
    <w:rsid w:val="00396111"/>
    <w:rsid w:val="006F5BDA"/>
    <w:rsid w:val="00C47752"/>
    <w:rsid w:val="00CD5F8B"/>
    <w:rsid w:val="00D15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77A1D2-BF2C-4A1E-B1F6-05E8EA58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F5B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BDA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articlebodyabstracttext">
    <w:name w:val="articlebody_abstracttext"/>
    <w:basedOn w:val="Normal"/>
    <w:rsid w:val="006F5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9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43914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0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310</Words>
  <Characters>1770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2026-03-18T10:47:00Z</dcterms:created>
  <dcterms:modified xsi:type="dcterms:W3CDTF">2026-03-18T10:47:00Z</dcterms:modified>
</cp:coreProperties>
</file>