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2C385E" w14:textId="77777777" w:rsidR="005D421D" w:rsidRPr="005D421D" w:rsidRDefault="005D421D" w:rsidP="005D421D">
      <w:pPr>
        <w:jc w:val="both"/>
        <w:rPr>
          <w:rFonts w:ascii="Times New Roman" w:hAnsi="Times New Roman" w:cs="Times New Roman"/>
          <w:b/>
          <w:sz w:val="24"/>
          <w:szCs w:val="24"/>
        </w:rPr>
      </w:pPr>
      <w:r w:rsidRPr="005D421D">
        <w:rPr>
          <w:rFonts w:ascii="Times New Roman" w:hAnsi="Times New Roman" w:cs="Times New Roman"/>
          <w:b/>
          <w:sz w:val="24"/>
          <w:szCs w:val="24"/>
        </w:rPr>
        <w:t>Universities as Hubs for MSME Capacity Building: Lessons from a Kenyan Bank-Higher Education Institution Training Initiative</w:t>
      </w:r>
    </w:p>
    <w:p w14:paraId="6A7B7924" w14:textId="77777777" w:rsidR="005D421D" w:rsidRPr="005D421D" w:rsidRDefault="005D421D" w:rsidP="005D421D">
      <w:pPr>
        <w:jc w:val="both"/>
        <w:rPr>
          <w:rFonts w:ascii="Times New Roman" w:hAnsi="Times New Roman" w:cs="Times New Roman"/>
          <w:sz w:val="24"/>
          <w:szCs w:val="24"/>
        </w:rPr>
      </w:pPr>
      <w:r w:rsidRPr="005D421D">
        <w:rPr>
          <w:rFonts w:ascii="Times New Roman" w:hAnsi="Times New Roman" w:cs="Times New Roman"/>
          <w:b/>
          <w:sz w:val="24"/>
          <w:szCs w:val="24"/>
        </w:rPr>
        <w:t>Abstract</w:t>
      </w:r>
    </w:p>
    <w:p w14:paraId="1DE33D5C" w14:textId="3F72B8E2" w:rsidR="00141604" w:rsidRDefault="005D421D" w:rsidP="005D421D">
      <w:pPr>
        <w:jc w:val="both"/>
      </w:pPr>
      <w:r w:rsidRPr="005D421D">
        <w:rPr>
          <w:rFonts w:ascii="Times New Roman" w:hAnsi="Times New Roman" w:cs="Times New Roman"/>
          <w:sz w:val="24"/>
          <w:szCs w:val="24"/>
        </w:rPr>
        <w:t>Micro, Small, and Medium Enterprises (MSMEs) are vital drivers of economic growth in Kenya, yet they face persistent barriers, including limited capacity, financial exclusion, and weak market integration. This study assessed the potential of universities as strategic hubs for MSME capacity building through a collaborative initiative between Egerton University and the KCB Foundation. Using the International Labour Organization’s Start and Improve Your Business (SIYB) methodology, 481 entrepreneurs from Egerton, Njoro, and Gilgil were trained in a business development bootcamp. This study evaluated the training effectiveness, participant demographics, confidence in skill application, networking outcomes, and satisfaction levels. The results showed high participant confidence (over 95% across all regions), strong financial management uptake (85%), and mobile banking adoption (70%). Gilgil led in inclusivity and peer engagement, while Njoro showed stronger gender representation. However, logistical challenges caused 25% absenteeism in rural areas, and only 23% accessed post-training mentorship. These findings underscore the transformative role of HEIs in fostering sustainable entrepreneurship through localized, inclusive, and industry-aligned training. Policy recommendations include hybrid delivery models, tiered curricula for diverse skill levels, and institutionalized mentorship through public–private partnerships. This case demonstrates the value of embedding entrepreneurship support within university mandates to advance national MSME development agendas</w:t>
      </w:r>
      <w:r>
        <w:t>.</w:t>
      </w:r>
    </w:p>
    <w:p w14:paraId="2F2B84ED" w14:textId="37382040" w:rsidR="00A5287B" w:rsidRPr="00A5287B" w:rsidRDefault="00A5287B" w:rsidP="005D421D">
      <w:pPr>
        <w:jc w:val="both"/>
        <w:rPr>
          <w:rFonts w:ascii="Times New Roman" w:hAnsi="Times New Roman" w:cs="Times New Roman"/>
          <w:sz w:val="24"/>
          <w:szCs w:val="24"/>
        </w:rPr>
      </w:pPr>
      <w:bookmarkStart w:id="0" w:name="_GoBack"/>
      <w:bookmarkEnd w:id="0"/>
      <w:r w:rsidRPr="00A5287B">
        <w:rPr>
          <w:rFonts w:ascii="Times New Roman" w:hAnsi="Times New Roman" w:cs="Times New Roman"/>
          <w:sz w:val="24"/>
          <w:szCs w:val="24"/>
        </w:rPr>
        <w:t>Keywords: MSMEs; capacity building; financial literacy; university–industry collaboration; Kenya; entrepreneurship; experiential learning</w:t>
      </w:r>
    </w:p>
    <w:sectPr w:rsidR="00A5287B" w:rsidRPr="00A5287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21D"/>
    <w:rsid w:val="00141604"/>
    <w:rsid w:val="005D421D"/>
    <w:rsid w:val="00A528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F814D"/>
  <w15:chartTrackingRefBased/>
  <w15:docId w15:val="{4150F4B8-B771-4C46-8C07-14949E40F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276</Words>
  <Characters>1577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Egerton Library</dc:creator>
  <cp:keywords/>
  <dc:description/>
  <cp:lastModifiedBy>Egerton Library</cp:lastModifiedBy>
  <cp:revision>2</cp:revision>
  <dcterms:created xsi:type="dcterms:W3CDTF">2026-01-19T08:59:00Z</dcterms:created>
  <dcterms:modified xsi:type="dcterms:W3CDTF">2026-01-19T09:04:00Z</dcterms:modified>
</cp:coreProperties>
</file>