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36AA631" w14:textId="77777777" w:rsidR="00623217" w:rsidRPr="00442332" w:rsidRDefault="00442332" w:rsidP="00442332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42332">
        <w:rPr>
          <w:rFonts w:ascii="Times New Roman" w:hAnsi="Times New Roman" w:cs="Times New Roman"/>
          <w:b/>
          <w:sz w:val="24"/>
          <w:szCs w:val="24"/>
        </w:rPr>
        <w:t>ROLES OF CYTOKINES IN MODULATING TRYPANOSOMA BRUCEI RHODESIENSE INFECTION OUTCOMES IN VERVET MONKEYS</w:t>
      </w:r>
    </w:p>
    <w:p w14:paraId="6D766F74" w14:textId="77777777" w:rsidR="00EE5AA7" w:rsidRPr="00442332" w:rsidRDefault="00EE5AA7" w:rsidP="00442332">
      <w:pPr>
        <w:jc w:val="both"/>
        <w:rPr>
          <w:rFonts w:ascii="Times New Roman" w:hAnsi="Times New Roman" w:cs="Times New Roman"/>
          <w:sz w:val="24"/>
          <w:szCs w:val="24"/>
        </w:rPr>
      </w:pPr>
      <w:r w:rsidRPr="00442332">
        <w:rPr>
          <w:rFonts w:ascii="Times New Roman" w:hAnsi="Times New Roman" w:cs="Times New Roman"/>
          <w:sz w:val="24"/>
          <w:szCs w:val="24"/>
        </w:rPr>
        <w:t>Human</w:t>
      </w:r>
      <w:r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 xml:space="preserve">African </w:t>
      </w:r>
      <w:proofErr w:type="spellStart"/>
      <w:r w:rsidRPr="00442332">
        <w:rPr>
          <w:rFonts w:ascii="Times New Roman" w:hAnsi="Times New Roman" w:cs="Times New Roman"/>
          <w:sz w:val="24"/>
          <w:szCs w:val="24"/>
        </w:rPr>
        <w:t>trypanosomiasis</w:t>
      </w:r>
      <w:proofErr w:type="spellEnd"/>
      <w:r w:rsidRPr="00442332">
        <w:rPr>
          <w:rFonts w:ascii="Times New Roman" w:hAnsi="Times New Roman" w:cs="Times New Roman"/>
          <w:sz w:val="24"/>
          <w:szCs w:val="24"/>
        </w:rPr>
        <w:t xml:space="preserve"> (HAT), caused</w:t>
      </w:r>
      <w:r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 xml:space="preserve">by </w:t>
      </w:r>
      <w:proofErr w:type="spellStart"/>
      <w:r w:rsidRPr="00442332">
        <w:rPr>
          <w:rFonts w:ascii="Times New Roman" w:hAnsi="Times New Roman" w:cs="Times New Roman"/>
          <w:sz w:val="24"/>
          <w:szCs w:val="24"/>
        </w:rPr>
        <w:t>Trypanosoma</w:t>
      </w:r>
      <w:proofErr w:type="spellEnd"/>
      <w:r w:rsidRPr="004423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42332">
        <w:rPr>
          <w:rFonts w:ascii="Times New Roman" w:hAnsi="Times New Roman" w:cs="Times New Roman"/>
          <w:sz w:val="24"/>
          <w:szCs w:val="24"/>
        </w:rPr>
        <w:t>brucei</w:t>
      </w:r>
      <w:proofErr w:type="spellEnd"/>
      <w:r w:rsidRPr="004423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42332">
        <w:rPr>
          <w:rFonts w:ascii="Times New Roman" w:hAnsi="Times New Roman" w:cs="Times New Roman"/>
          <w:sz w:val="24"/>
          <w:szCs w:val="24"/>
        </w:rPr>
        <w:t>rhodesiense</w:t>
      </w:r>
      <w:proofErr w:type="spellEnd"/>
      <w:r w:rsidRPr="00442332">
        <w:rPr>
          <w:rFonts w:ascii="Times New Roman" w:hAnsi="Times New Roman" w:cs="Times New Roman"/>
          <w:sz w:val="24"/>
          <w:szCs w:val="24"/>
        </w:rPr>
        <w:t>, is categorized</w:t>
      </w:r>
      <w:r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as acute</w:t>
      </w:r>
      <w:r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due to rapid</w:t>
      </w:r>
      <w:r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disease</w:t>
      </w:r>
      <w:r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progression</w:t>
      </w:r>
      <w:r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but presents varying</w:t>
      </w:r>
      <w:r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clinical outcomes. Although the</w:t>
      </w:r>
      <w:r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mechanisms underpinning differential clinical progression</w:t>
      </w:r>
      <w:r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are</w:t>
      </w:r>
      <w:r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poorly</w:t>
      </w:r>
      <w:r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understood, both</w:t>
      </w:r>
      <w:r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host</w:t>
      </w:r>
      <w:r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and</w:t>
      </w:r>
      <w:r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parasite factors</w:t>
      </w:r>
      <w:r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are</w:t>
      </w:r>
      <w:r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implicated.</w:t>
      </w:r>
      <w:r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Here,</w:t>
      </w:r>
      <w:r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we</w:t>
      </w:r>
      <w:r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assessed</w:t>
      </w:r>
      <w:r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the</w:t>
      </w:r>
      <w:r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roles</w:t>
      </w:r>
      <w:r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of</w:t>
      </w:r>
      <w:r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selected</w:t>
      </w:r>
      <w:r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host</w:t>
      </w:r>
      <w:r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cytokines</w:t>
      </w:r>
      <w:r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in disease</w:t>
      </w:r>
      <w:r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progression</w:t>
      </w:r>
      <w:r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using</w:t>
      </w:r>
      <w:r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a</w:t>
      </w:r>
      <w:r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tsetse-mediated</w:t>
      </w:r>
      <w:r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infection</w:t>
      </w:r>
      <w:r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in</w:t>
      </w:r>
      <w:r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a</w:t>
      </w:r>
      <w:r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non-human</w:t>
      </w:r>
      <w:r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primate (NHP)</w:t>
      </w:r>
      <w:r w:rsidRPr="004423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442332">
        <w:rPr>
          <w:rFonts w:ascii="Times New Roman" w:hAnsi="Times New Roman" w:cs="Times New Roman"/>
          <w:sz w:val="24"/>
          <w:szCs w:val="24"/>
        </w:rPr>
        <w:t>vervet</w:t>
      </w:r>
      <w:proofErr w:type="spellEnd"/>
      <w:r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monkey</w:t>
      </w:r>
      <w:r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model that</w:t>
      </w:r>
      <w:r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closely</w:t>
      </w:r>
      <w:r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mimics</w:t>
      </w:r>
      <w:r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HAT</w:t>
      </w:r>
      <w:r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and</w:t>
      </w:r>
      <w:r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natural infection.</w:t>
      </w:r>
      <w:r w:rsidRPr="00442332">
        <w:rPr>
          <w:rFonts w:ascii="Times New Roman" w:hAnsi="Times New Roman" w:cs="Times New Roman"/>
          <w:sz w:val="24"/>
          <w:szCs w:val="24"/>
        </w:rPr>
        <w:t xml:space="preserve"> We quantified </w:t>
      </w:r>
      <w:r w:rsidRPr="00442332">
        <w:rPr>
          <w:rFonts w:ascii="Times New Roman" w:hAnsi="Times New Roman" w:cs="Times New Roman"/>
          <w:sz w:val="24"/>
          <w:szCs w:val="24"/>
        </w:rPr>
        <w:t>eight</w:t>
      </w:r>
      <w:r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cytokines,</w:t>
      </w:r>
      <w:r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including</w:t>
      </w:r>
      <w:r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TNF-a,</w:t>
      </w:r>
      <w:r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IFN-g,</w:t>
      </w:r>
      <w:r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IL-10,</w:t>
      </w:r>
      <w:r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IL-6,</w:t>
      </w:r>
      <w:r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IL-12,</w:t>
      </w:r>
      <w:r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and</w:t>
      </w:r>
      <w:r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IL-1b,</w:t>
      </w:r>
      <w:r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as well</w:t>
      </w:r>
      <w:r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as</w:t>
      </w:r>
      <w:r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the</w:t>
      </w:r>
      <w:r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brain</w:t>
      </w:r>
      <w:r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injury</w:t>
      </w:r>
      <w:r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biomarker</w:t>
      </w:r>
      <w:r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S100</w:t>
      </w:r>
      <w:r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="00442332">
        <w:rPr>
          <w:rFonts w:ascii="Times New Roman" w:hAnsi="Times New Roman" w:cs="Times New Roman"/>
          <w:sz w:val="24"/>
          <w:szCs w:val="24"/>
        </w:rPr>
        <w:t>β</w:t>
      </w:r>
      <w:bookmarkStart w:id="0" w:name="_GoBack"/>
      <w:bookmarkEnd w:id="0"/>
      <w:r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and</w:t>
      </w:r>
      <w:r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clinical</w:t>
      </w:r>
      <w:r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data,</w:t>
      </w:r>
      <w:r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and</w:t>
      </w:r>
      <w:r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compared</w:t>
      </w:r>
      <w:r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acute and</w:t>
      </w:r>
      <w:r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chronic</w:t>
      </w:r>
      <w:r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infections.</w:t>
      </w:r>
      <w:r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Monkeys</w:t>
      </w:r>
      <w:r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infected</w:t>
      </w:r>
      <w:r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with</w:t>
      </w:r>
      <w:r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KETRI3801</w:t>
      </w:r>
      <w:r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and</w:t>
      </w:r>
      <w:r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KETRI3928</w:t>
      </w:r>
      <w:r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had mean</w:t>
      </w:r>
      <w:r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survival times</w:t>
      </w:r>
      <w:r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of</w:t>
      </w:r>
      <w:r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28</w:t>
      </w:r>
      <w:r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and</w:t>
      </w:r>
      <w:r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95</w:t>
      </w:r>
      <w:r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days, respectively. In</w:t>
      </w:r>
      <w:r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both infected</w:t>
      </w:r>
      <w:r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groups, cytokine</w:t>
      </w:r>
      <w:r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levels</w:t>
      </w:r>
      <w:r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were</w:t>
      </w:r>
      <w:r w:rsidRPr="00442332">
        <w:rPr>
          <w:rFonts w:ascii="Times New Roman" w:hAnsi="Times New Roman" w:cs="Times New Roman"/>
          <w:sz w:val="24"/>
          <w:szCs w:val="24"/>
        </w:rPr>
        <w:t xml:space="preserve"> signifi</w:t>
      </w:r>
      <w:r w:rsidRPr="00442332">
        <w:rPr>
          <w:rFonts w:ascii="Times New Roman" w:hAnsi="Times New Roman" w:cs="Times New Roman"/>
          <w:sz w:val="24"/>
          <w:szCs w:val="24"/>
        </w:rPr>
        <w:t>cantly</w:t>
      </w:r>
      <w:r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higher than</w:t>
      </w:r>
      <w:r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those</w:t>
      </w:r>
      <w:r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in</w:t>
      </w:r>
      <w:r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uninfected</w:t>
      </w:r>
      <w:r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controls</w:t>
      </w:r>
      <w:r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(p&lt; 0.05). IL-12, IL-6,</w:t>
      </w:r>
      <w:r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and</w:t>
      </w:r>
      <w:r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IL-1b</w:t>
      </w:r>
      <w:r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cytokines</w:t>
      </w:r>
      <w:r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were</w:t>
      </w:r>
      <w:r w:rsidRPr="00442332">
        <w:rPr>
          <w:rFonts w:ascii="Times New Roman" w:hAnsi="Times New Roman" w:cs="Times New Roman"/>
          <w:sz w:val="24"/>
          <w:szCs w:val="24"/>
        </w:rPr>
        <w:t xml:space="preserve"> signifi</w:t>
      </w:r>
      <w:r w:rsidRPr="00442332">
        <w:rPr>
          <w:rFonts w:ascii="Times New Roman" w:hAnsi="Times New Roman" w:cs="Times New Roman"/>
          <w:sz w:val="24"/>
          <w:szCs w:val="24"/>
        </w:rPr>
        <w:t>cantly</w:t>
      </w:r>
      <w:r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="00442332" w:rsidRPr="00442332">
        <w:rPr>
          <w:rFonts w:ascii="Times New Roman" w:hAnsi="Times New Roman" w:cs="Times New Roman"/>
          <w:sz w:val="24"/>
          <w:szCs w:val="24"/>
        </w:rPr>
        <w:t xml:space="preserve">elevated </w:t>
      </w:r>
      <w:r w:rsidRPr="00442332">
        <w:rPr>
          <w:rFonts w:ascii="Times New Roman" w:hAnsi="Times New Roman" w:cs="Times New Roman"/>
          <w:sz w:val="24"/>
          <w:szCs w:val="24"/>
        </w:rPr>
        <w:t>(p&lt;0.05)</w:t>
      </w:r>
      <w:r w:rsidR="00442332"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from</w:t>
      </w:r>
      <w:r w:rsidR="00442332"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early-stage</w:t>
      </w:r>
      <w:r w:rsidR="00442332"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diseasetotheonsetoflate-stagedisease.IL-1b,</w:t>
      </w:r>
      <w:r w:rsidR="00442332"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IL-6,</w:t>
      </w:r>
      <w:r w:rsidR="00442332"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IL-12,</w:t>
      </w:r>
      <w:r w:rsidR="00442332"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and</w:t>
      </w:r>
      <w:r w:rsidR="00442332" w:rsidRPr="00442332">
        <w:rPr>
          <w:rFonts w:ascii="Times New Roman" w:hAnsi="Times New Roman" w:cs="Times New Roman"/>
          <w:sz w:val="24"/>
          <w:szCs w:val="24"/>
        </w:rPr>
        <w:t xml:space="preserve"> IL-10 </w:t>
      </w:r>
      <w:r w:rsidRPr="00442332">
        <w:rPr>
          <w:rFonts w:ascii="Times New Roman" w:hAnsi="Times New Roman" w:cs="Times New Roman"/>
          <w:sz w:val="24"/>
          <w:szCs w:val="24"/>
        </w:rPr>
        <w:t>are implicated in</w:t>
      </w:r>
      <w:r w:rsidR="00442332"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pro- and counter</w:t>
      </w:r>
      <w:r w:rsidR="00442332" w:rsidRPr="00442332">
        <w:rPr>
          <w:rFonts w:ascii="Times New Roman" w:hAnsi="Times New Roman" w:cs="Times New Roman"/>
          <w:sz w:val="24"/>
          <w:szCs w:val="24"/>
        </w:rPr>
        <w:t xml:space="preserve"> in amatory responses. In addition, </w:t>
      </w:r>
      <w:r w:rsidRPr="00442332">
        <w:rPr>
          <w:rFonts w:ascii="Times New Roman" w:hAnsi="Times New Roman" w:cs="Times New Roman"/>
          <w:sz w:val="24"/>
          <w:szCs w:val="24"/>
        </w:rPr>
        <w:t xml:space="preserve">cerebrospinal </w:t>
      </w:r>
      <w:r w:rsidR="00442332" w:rsidRPr="00442332">
        <w:rPr>
          <w:rFonts w:ascii="Times New Roman" w:hAnsi="Times New Roman" w:cs="Times New Roman"/>
          <w:sz w:val="24"/>
          <w:szCs w:val="24"/>
        </w:rPr>
        <w:t>fl</w:t>
      </w:r>
      <w:r w:rsidRPr="00442332">
        <w:rPr>
          <w:rFonts w:ascii="Times New Roman" w:hAnsi="Times New Roman" w:cs="Times New Roman"/>
          <w:sz w:val="24"/>
          <w:szCs w:val="24"/>
        </w:rPr>
        <w:t>uid</w:t>
      </w:r>
      <w:r w:rsidR="00442332"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parasite</w:t>
      </w:r>
      <w:r w:rsidR="00442332"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and</w:t>
      </w:r>
      <w:r w:rsidR="00442332"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white</w:t>
      </w:r>
      <w:r w:rsidR="00442332"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blood</w:t>
      </w:r>
      <w:r w:rsidR="00442332" w:rsidRPr="00442332">
        <w:rPr>
          <w:rFonts w:ascii="Times New Roman" w:hAnsi="Times New Roman" w:cs="Times New Roman"/>
          <w:sz w:val="24"/>
          <w:szCs w:val="24"/>
        </w:rPr>
        <w:t xml:space="preserve"> cell </w:t>
      </w:r>
      <w:r w:rsidRPr="00442332">
        <w:rPr>
          <w:rFonts w:ascii="Times New Roman" w:hAnsi="Times New Roman" w:cs="Times New Roman"/>
          <w:sz w:val="24"/>
          <w:szCs w:val="24"/>
        </w:rPr>
        <w:t>levels</w:t>
      </w:r>
      <w:r w:rsidR="00442332"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were</w:t>
      </w:r>
      <w:r w:rsidR="00442332"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higher in</w:t>
      </w:r>
      <w:r w:rsidR="00442332" w:rsidRPr="00442332">
        <w:rPr>
          <w:rFonts w:ascii="Times New Roman" w:hAnsi="Times New Roman" w:cs="Times New Roman"/>
          <w:sz w:val="24"/>
          <w:szCs w:val="24"/>
        </w:rPr>
        <w:t xml:space="preserve"> KETRI </w:t>
      </w:r>
      <w:r w:rsidRPr="00442332">
        <w:rPr>
          <w:rFonts w:ascii="Times New Roman" w:hAnsi="Times New Roman" w:cs="Times New Roman"/>
          <w:sz w:val="24"/>
          <w:szCs w:val="24"/>
        </w:rPr>
        <w:t>3801 infections compared</w:t>
      </w:r>
      <w:r w:rsidR="00442332"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with</w:t>
      </w:r>
      <w:r w:rsidR="00442332"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KETRI 3928 infections.</w:t>
      </w:r>
      <w:r w:rsidR="00442332"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We</w:t>
      </w:r>
      <w:r w:rsidR="00442332" w:rsidRPr="00442332">
        <w:rPr>
          <w:rFonts w:ascii="Times New Roman" w:hAnsi="Times New Roman" w:cs="Times New Roman"/>
          <w:sz w:val="24"/>
          <w:szCs w:val="24"/>
        </w:rPr>
        <w:t xml:space="preserve"> conclude that </w:t>
      </w:r>
      <w:r w:rsidRPr="00442332">
        <w:rPr>
          <w:rFonts w:ascii="Times New Roman" w:hAnsi="Times New Roman" w:cs="Times New Roman"/>
          <w:sz w:val="24"/>
          <w:szCs w:val="24"/>
        </w:rPr>
        <w:t>cytokines</w:t>
      </w:r>
      <w:r w:rsidR="00442332"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play</w:t>
      </w:r>
      <w:r w:rsidR="00442332"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roles in</w:t>
      </w:r>
      <w:r w:rsidR="00442332"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modulating</w:t>
      </w:r>
      <w:r w:rsidR="00442332"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disease</w:t>
      </w:r>
      <w:r w:rsidR="00442332"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progression</w:t>
      </w:r>
      <w:r w:rsidR="00442332"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and</w:t>
      </w:r>
      <w:r w:rsidR="00442332"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severity in</w:t>
      </w:r>
      <w:r w:rsidR="00442332"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an</w:t>
      </w:r>
      <w:r w:rsidR="00442332" w:rsidRPr="00442332">
        <w:rPr>
          <w:rFonts w:ascii="Times New Roman" w:hAnsi="Times New Roman" w:cs="Times New Roman"/>
          <w:sz w:val="24"/>
          <w:szCs w:val="24"/>
        </w:rPr>
        <w:t xml:space="preserve"> NHP </w:t>
      </w:r>
      <w:r w:rsidRPr="00442332">
        <w:rPr>
          <w:rFonts w:ascii="Times New Roman" w:hAnsi="Times New Roman" w:cs="Times New Roman"/>
          <w:sz w:val="24"/>
          <w:szCs w:val="24"/>
        </w:rPr>
        <w:t>model</w:t>
      </w:r>
      <w:r w:rsidR="00442332"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of</w:t>
      </w:r>
      <w:r w:rsidR="00442332"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HAT,</w:t>
      </w:r>
      <w:r w:rsidR="00442332"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which</w:t>
      </w:r>
      <w:r w:rsidR="00442332"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is</w:t>
      </w:r>
      <w:r w:rsidR="00442332"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important</w:t>
      </w:r>
      <w:r w:rsidR="00442332"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for</w:t>
      </w:r>
      <w:r w:rsidR="00442332"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understanding</w:t>
      </w:r>
      <w:r w:rsidR="00442332"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varying</w:t>
      </w:r>
      <w:r w:rsidR="00442332"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infection</w:t>
      </w:r>
      <w:r w:rsidR="00442332" w:rsidRPr="00442332">
        <w:rPr>
          <w:rFonts w:ascii="Times New Roman" w:hAnsi="Times New Roman" w:cs="Times New Roman"/>
          <w:sz w:val="24"/>
          <w:szCs w:val="24"/>
        </w:rPr>
        <w:t xml:space="preserve"> </w:t>
      </w:r>
      <w:r w:rsidRPr="00442332">
        <w:rPr>
          <w:rFonts w:ascii="Times New Roman" w:hAnsi="Times New Roman" w:cs="Times New Roman"/>
          <w:sz w:val="24"/>
          <w:szCs w:val="24"/>
        </w:rPr>
        <w:t>outcomes.</w:t>
      </w:r>
    </w:p>
    <w:sectPr w:rsidR="00EE5AA7" w:rsidRPr="00442332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75D2"/>
    <w:rsid w:val="00442332"/>
    <w:rsid w:val="00623217"/>
    <w:rsid w:val="006D75D2"/>
    <w:rsid w:val="00EE5A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FA14618"/>
  <w15:chartTrackingRefBased/>
  <w15:docId w15:val="{E5D92AC2-F05B-4F41-8B57-0CB294570D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233</Words>
  <Characters>1330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Egerton Library</dc:creator>
  <cp:keywords/>
  <dc:description/>
  <cp:lastModifiedBy>Egerton Library</cp:lastModifiedBy>
  <cp:revision>1</cp:revision>
  <dcterms:created xsi:type="dcterms:W3CDTF">2026-01-08T07:35:00Z</dcterms:created>
  <dcterms:modified xsi:type="dcterms:W3CDTF">2026-01-08T09:58:00Z</dcterms:modified>
</cp:coreProperties>
</file>