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46A" w:rsidRDefault="00F6046A" w:rsidP="00F6046A">
      <w:pPr>
        <w:pStyle w:val="Heading2"/>
        <w:shd w:val="clear" w:color="auto" w:fill="FFFFFF"/>
        <w:rPr>
          <w:rFonts w:ascii="icomoon" w:hAnsi="icomoon"/>
        </w:rPr>
      </w:pPr>
      <w:r>
        <w:rPr>
          <w:rFonts w:ascii="icomoon" w:hAnsi="icomoon"/>
        </w:rPr>
        <w:t>Abstract</w:t>
      </w:r>
    </w:p>
    <w:p w:rsidR="00F6046A" w:rsidRDefault="00F6046A" w:rsidP="00F6046A">
      <w:pPr>
        <w:pStyle w:val="NormalWeb"/>
        <w:shd w:val="clear" w:color="auto" w:fill="FFFFFF"/>
        <w:spacing w:after="240" w:afterAutospacing="0"/>
        <w:rPr>
          <w:rFonts w:ascii="icomoon" w:hAnsi="icomoon"/>
          <w:color w:val="1C1D1E"/>
        </w:rPr>
      </w:pPr>
      <w:r>
        <w:rPr>
          <w:rFonts w:ascii="icomoon" w:hAnsi="icomoon"/>
          <w:color w:val="1C1D1E"/>
        </w:rPr>
        <w:t xml:space="preserve">The transition to green energy is essential in mitigating climate change and reducing environmental impacts. Although solar energy is a limitless and sustainable resource, photovoltaic technology has yet to achieve its </w:t>
      </w:r>
      <w:proofErr w:type="spellStart"/>
      <w:r>
        <w:rPr>
          <w:rFonts w:ascii="icomoon" w:hAnsi="icomoon"/>
          <w:color w:val="1C1D1E"/>
        </w:rPr>
        <w:t>fullpotential</w:t>
      </w:r>
      <w:proofErr w:type="spellEnd"/>
      <w:r>
        <w:rPr>
          <w:rFonts w:ascii="icomoon" w:hAnsi="icomoon"/>
          <w:color w:val="1C1D1E"/>
        </w:rPr>
        <w:t xml:space="preserve"> due to stability and durability challenges. Herein, a novel solar cell architecture—FTO/AZO/</w:t>
      </w:r>
      <w:r>
        <w:rPr>
          <w:rFonts w:ascii="icomoon" w:hAnsi="icomoon"/>
          <w:i/>
          <w:iCs/>
          <w:color w:val="1C1D1E"/>
        </w:rPr>
        <w:t>p-</w:t>
      </w:r>
      <w:r>
        <w:rPr>
          <w:rFonts w:ascii="icomoon" w:hAnsi="icomoon"/>
          <w:color w:val="1C1D1E"/>
        </w:rPr>
        <w:t>C</w:t>
      </w:r>
      <w:r>
        <w:rPr>
          <w:rFonts w:ascii="icomoon" w:hAnsi="icomoon"/>
          <w:color w:val="1C1D1E"/>
          <w:sz w:val="18"/>
          <w:szCs w:val="18"/>
          <w:vertAlign w:val="subscript"/>
        </w:rPr>
        <w:t>2</w:t>
      </w:r>
      <w:r>
        <w:rPr>
          <w:rFonts w:ascii="icomoon" w:hAnsi="icomoon"/>
          <w:color w:val="1C1D1E"/>
        </w:rPr>
        <w:t>N/Spiro-</w:t>
      </w:r>
      <w:proofErr w:type="spellStart"/>
      <w:r>
        <w:rPr>
          <w:rFonts w:ascii="icomoon" w:hAnsi="icomoon"/>
          <w:color w:val="1C1D1E"/>
        </w:rPr>
        <w:t>OMeTAD</w:t>
      </w:r>
      <w:proofErr w:type="spellEnd"/>
      <w:r>
        <w:rPr>
          <w:rFonts w:ascii="icomoon" w:hAnsi="icomoon"/>
          <w:color w:val="1C1D1E"/>
        </w:rPr>
        <w:t>/Ni—is investigated using the solar cell capacitance device simulator (SCAPS-1D) and impedance spectroscopy. The performance metrics obtained from the model cell were: open circuit voltage (</w:t>
      </w:r>
      <w:proofErr w:type="spellStart"/>
      <w:r>
        <w:rPr>
          <w:rFonts w:ascii="icomoon" w:hAnsi="icomoon"/>
          <w:i/>
          <w:iCs/>
          <w:color w:val="1C1D1E"/>
        </w:rPr>
        <w:t>V</w:t>
      </w:r>
      <w:r>
        <w:rPr>
          <w:rFonts w:ascii="icomoon" w:hAnsi="icomoon"/>
          <w:color w:val="1C1D1E"/>
          <w:sz w:val="18"/>
          <w:szCs w:val="18"/>
          <w:vertAlign w:val="subscript"/>
        </w:rPr>
        <w:t>oc</w:t>
      </w:r>
      <w:proofErr w:type="spellEnd"/>
      <w:r>
        <w:rPr>
          <w:rFonts w:ascii="icomoon" w:hAnsi="icomoon"/>
          <w:color w:val="1C1D1E"/>
        </w:rPr>
        <w:t>) of 1.3030 V, short-circuit current (</w:t>
      </w:r>
      <w:proofErr w:type="spellStart"/>
      <w:r>
        <w:rPr>
          <w:rFonts w:ascii="icomoon" w:hAnsi="icomoon"/>
          <w:i/>
          <w:iCs/>
          <w:color w:val="1C1D1E"/>
        </w:rPr>
        <w:t>J</w:t>
      </w:r>
      <w:r>
        <w:rPr>
          <w:rFonts w:ascii="icomoon" w:hAnsi="icomoon"/>
          <w:color w:val="1C1D1E"/>
          <w:sz w:val="18"/>
          <w:szCs w:val="18"/>
          <w:vertAlign w:val="subscript"/>
        </w:rPr>
        <w:t>sc</w:t>
      </w:r>
      <w:proofErr w:type="spellEnd"/>
      <w:r>
        <w:rPr>
          <w:rFonts w:ascii="icomoon" w:hAnsi="icomoon"/>
          <w:color w:val="1C1D1E"/>
        </w:rPr>
        <w:t>) of 23.23 mA/cm</w:t>
      </w:r>
      <w:r>
        <w:rPr>
          <w:rFonts w:ascii="icomoon" w:hAnsi="icomoon"/>
          <w:color w:val="1C1D1E"/>
          <w:sz w:val="18"/>
          <w:szCs w:val="18"/>
          <w:vertAlign w:val="superscript"/>
        </w:rPr>
        <w:t>2</w:t>
      </w:r>
      <w:r>
        <w:rPr>
          <w:rFonts w:ascii="icomoon" w:hAnsi="icomoon"/>
          <w:color w:val="1C1D1E"/>
        </w:rPr>
        <w:t xml:space="preserve">, fill factor of 73.84%, and power conversion efficiency of 22.35%. At a </w:t>
      </w:r>
      <w:proofErr w:type="spellStart"/>
      <w:r>
        <w:rPr>
          <w:rFonts w:ascii="icomoon" w:hAnsi="icomoon"/>
          <w:color w:val="1C1D1E"/>
        </w:rPr>
        <w:t>bandgap</w:t>
      </w:r>
      <w:proofErr w:type="spellEnd"/>
      <w:r>
        <w:rPr>
          <w:rFonts w:ascii="icomoon" w:hAnsi="icomoon"/>
          <w:color w:val="1C1D1E"/>
        </w:rPr>
        <w:t xml:space="preserve"> of 1.4 eV of the absorber, quantum efficiency (QE) reached maximum (100%) in the entire wavelength range (300 – 700 nm) but decreased with increasing </w:t>
      </w:r>
      <w:proofErr w:type="spellStart"/>
      <w:r>
        <w:rPr>
          <w:rFonts w:ascii="icomoon" w:hAnsi="icomoon"/>
          <w:color w:val="1C1D1E"/>
        </w:rPr>
        <w:t>bandgap</w:t>
      </w:r>
      <w:proofErr w:type="spellEnd"/>
      <w:r>
        <w:rPr>
          <w:rFonts w:ascii="icomoon" w:hAnsi="icomoon"/>
          <w:color w:val="1C1D1E"/>
        </w:rPr>
        <w:t xml:space="preserve"> of the absorber. At a wavelength of 360 nm, the QE reached 100% with a donor density of between 10</w:t>
      </w:r>
      <w:r>
        <w:rPr>
          <w:rFonts w:ascii="icomoon" w:hAnsi="icomoon"/>
          <w:color w:val="1C1D1E"/>
          <w:sz w:val="18"/>
          <w:szCs w:val="18"/>
          <w:vertAlign w:val="superscript"/>
        </w:rPr>
        <w:t>15</w:t>
      </w:r>
      <w:r>
        <w:rPr>
          <w:rFonts w:ascii="icomoon" w:hAnsi="icomoon"/>
          <w:color w:val="1C1D1E"/>
        </w:rPr>
        <w:t> and 10</w:t>
      </w:r>
      <w:r>
        <w:rPr>
          <w:rFonts w:ascii="icomoon" w:hAnsi="icomoon"/>
          <w:color w:val="1C1D1E"/>
          <w:sz w:val="18"/>
          <w:szCs w:val="18"/>
          <w:vertAlign w:val="superscript"/>
        </w:rPr>
        <w:t>20</w:t>
      </w:r>
      <w:r>
        <w:rPr>
          <w:rFonts w:ascii="icomoon" w:hAnsi="icomoon"/>
          <w:color w:val="1C1D1E"/>
        </w:rPr>
        <w:t> cm</w:t>
      </w:r>
      <w:r>
        <w:rPr>
          <w:rFonts w:ascii="icomoon" w:hAnsi="icomoon"/>
          <w:color w:val="1C1D1E"/>
          <w:sz w:val="18"/>
          <w:szCs w:val="18"/>
          <w:vertAlign w:val="superscript"/>
        </w:rPr>
        <w:t>−3</w:t>
      </w:r>
      <w:r>
        <w:rPr>
          <w:rFonts w:ascii="icomoon" w:hAnsi="icomoon"/>
          <w:color w:val="1C1D1E"/>
        </w:rPr>
        <w:t>. In order to gain deeper insight into the mechanisms of charge storage and light-to-electricity conversion, this study also focused on the analysis of complex impedance (</w:t>
      </w:r>
      <w:r>
        <w:rPr>
          <w:rFonts w:ascii="icomoon" w:hAnsi="icomoon"/>
          <w:i/>
          <w:iCs/>
          <w:color w:val="1C1D1E"/>
        </w:rPr>
        <w:t>Z</w:t>
      </w:r>
      <w:r>
        <w:rPr>
          <w:rFonts w:ascii="icomoon" w:hAnsi="icomoon"/>
          <w:color w:val="1C1D1E"/>
        </w:rPr>
        <w:t>*) and complex conductivity (</w:t>
      </w:r>
      <w:r>
        <w:rPr>
          <w:rFonts w:ascii="icomoon" w:hAnsi="icomoon"/>
          <w:i/>
          <w:iCs/>
          <w:color w:val="1C1D1E"/>
        </w:rPr>
        <w:t>σ</w:t>
      </w:r>
      <w:r>
        <w:rPr>
          <w:rFonts w:ascii="icomoon" w:hAnsi="icomoon"/>
          <w:color w:val="1C1D1E"/>
        </w:rPr>
        <w:t>*). A theoretical investigation of the imaginary components (</w:t>
      </w:r>
      <w:r>
        <w:rPr>
          <w:rFonts w:ascii="icomoon" w:hAnsi="icomoon"/>
          <w:i/>
          <w:iCs/>
          <w:color w:val="1C1D1E"/>
        </w:rPr>
        <w:t>Z</w:t>
      </w:r>
      <w:r>
        <w:rPr>
          <w:rFonts w:ascii="icomoon" w:hAnsi="icomoon"/>
          <w:color w:val="1C1D1E"/>
        </w:rPr>
        <w:t>″ and </w:t>
      </w:r>
      <w:r>
        <w:rPr>
          <w:rFonts w:ascii="icomoon" w:hAnsi="icomoon"/>
          <w:i/>
          <w:iCs/>
          <w:color w:val="1C1D1E"/>
        </w:rPr>
        <w:t>σ</w:t>
      </w:r>
      <w:r>
        <w:rPr>
          <w:rFonts w:ascii="icomoon" w:hAnsi="icomoon"/>
          <w:color w:val="1C1D1E"/>
        </w:rPr>
        <w:t xml:space="preserve">″) across a wide frequency range revealed the presence of multiple relaxation processes. Through spectral extrapolation and </w:t>
      </w:r>
      <w:proofErr w:type="spellStart"/>
      <w:r>
        <w:rPr>
          <w:rFonts w:ascii="icomoon" w:hAnsi="icomoon"/>
          <w:color w:val="1C1D1E"/>
        </w:rPr>
        <w:t>deconvolution</w:t>
      </w:r>
      <w:proofErr w:type="spellEnd"/>
      <w:r>
        <w:rPr>
          <w:rFonts w:ascii="icomoon" w:hAnsi="icomoon"/>
          <w:color w:val="1C1D1E"/>
        </w:rPr>
        <w:t>, three distinct relaxation phenomena were identified in both </w:t>
      </w:r>
      <w:r>
        <w:rPr>
          <w:rFonts w:ascii="icomoon" w:hAnsi="icomoon"/>
          <w:i/>
          <w:iCs/>
          <w:color w:val="1C1D1E"/>
        </w:rPr>
        <w:t>Z</w:t>
      </w:r>
      <w:r>
        <w:rPr>
          <w:rFonts w:ascii="icomoon" w:hAnsi="icomoon"/>
          <w:color w:val="1C1D1E"/>
        </w:rPr>
        <w:t>* and </w:t>
      </w:r>
      <w:r>
        <w:rPr>
          <w:rFonts w:ascii="icomoon" w:hAnsi="icomoon"/>
          <w:i/>
          <w:iCs/>
          <w:color w:val="1C1D1E"/>
        </w:rPr>
        <w:t>σ</w:t>
      </w:r>
      <w:r>
        <w:rPr>
          <w:rFonts w:ascii="icomoon" w:hAnsi="icomoon"/>
          <w:color w:val="1C1D1E"/>
        </w:rPr>
        <w:t>*, resembling the Cole–Cole-type relaxations typically associated with Maxwell–Wagner–</w:t>
      </w:r>
      <w:proofErr w:type="spellStart"/>
      <w:r>
        <w:rPr>
          <w:rFonts w:ascii="icomoon" w:hAnsi="icomoon"/>
          <w:color w:val="1C1D1E"/>
        </w:rPr>
        <w:t>Sillars</w:t>
      </w:r>
      <w:proofErr w:type="spellEnd"/>
      <w:r>
        <w:rPr>
          <w:rFonts w:ascii="icomoon" w:hAnsi="icomoon"/>
          <w:color w:val="1C1D1E"/>
        </w:rPr>
        <w:t xml:space="preserve"> effects. These findings suggest localized electrical interactions between active sites along the </w:t>
      </w:r>
      <w:proofErr w:type="spellStart"/>
      <w:r>
        <w:rPr>
          <w:rFonts w:ascii="icomoon" w:hAnsi="icomoon"/>
          <w:color w:val="1C1D1E"/>
        </w:rPr>
        <w:t>graphene</w:t>
      </w:r>
      <w:proofErr w:type="spellEnd"/>
      <w:r>
        <w:rPr>
          <w:rFonts w:ascii="icomoon" w:hAnsi="icomoon"/>
          <w:color w:val="1C1D1E"/>
        </w:rPr>
        <w:t xml:space="preserve"> molecular chains and </w:t>
      </w:r>
      <w:proofErr w:type="spellStart"/>
      <w:r>
        <w:rPr>
          <w:rFonts w:ascii="icomoon" w:hAnsi="icomoon"/>
          <w:color w:val="1C1D1E"/>
        </w:rPr>
        <w:t>counterions</w:t>
      </w:r>
      <w:proofErr w:type="spellEnd"/>
      <w:r>
        <w:rPr>
          <w:rFonts w:ascii="icomoon" w:hAnsi="icomoon"/>
          <w:color w:val="1C1D1E"/>
        </w:rPr>
        <w:t xml:space="preserve"> at interfacial boundaries, leading to induced dipole moments and potential diffusion-driven dynamics. The modeling and understanding of dielectric relaxations and conduction mechanisms provide valuable insights into the underlying phenomena and support the optimization of cell performance.</w:t>
      </w:r>
    </w:p>
    <w:p w:rsidR="0073035E" w:rsidRDefault="00F6046A">
      <w:bookmarkStart w:id="0" w:name="_GoBack"/>
      <w:bookmarkEnd w:id="0"/>
    </w:p>
    <w:sectPr w:rsidR="00730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icomoo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347A"/>
    <w:rsid w:val="0063347A"/>
    <w:rsid w:val="00CD5F8B"/>
    <w:rsid w:val="00D1553D"/>
    <w:rsid w:val="00ED790A"/>
    <w:rsid w:val="00F127AA"/>
    <w:rsid w:val="00F60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6E7F18-FEA3-4A35-8269-2CEF07AF6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3347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3347A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6334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F127AA"/>
    <w:rPr>
      <w:i/>
      <w:iCs/>
    </w:rPr>
  </w:style>
  <w:style w:type="character" w:styleId="Strong">
    <w:name w:val="Strong"/>
    <w:basedOn w:val="DefaultParagraphFont"/>
    <w:uiPriority w:val="22"/>
    <w:qFormat/>
    <w:rsid w:val="00F127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70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67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8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3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2026-03-18T10:35:00Z</dcterms:created>
  <dcterms:modified xsi:type="dcterms:W3CDTF">2026-03-18T10:35:00Z</dcterms:modified>
</cp:coreProperties>
</file>